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D85C3" w14:textId="77777777" w:rsidR="00CA51E9" w:rsidRDefault="00CA51E9">
      <w:pPr>
        <w:tabs>
          <w:tab w:val="center" w:pos="4680"/>
        </w:tabs>
      </w:pPr>
      <w:r>
        <w:tab/>
      </w:r>
      <w:r w:rsidR="00CA7DAC">
        <w:rPr>
          <w:b/>
          <w:bCs/>
          <w:sz w:val="32"/>
          <w:szCs w:val="32"/>
        </w:rPr>
        <w:t>White Collar Crime (Winter 2011</w:t>
      </w:r>
      <w:r>
        <w:rPr>
          <w:b/>
          <w:bCs/>
          <w:sz w:val="32"/>
          <w:szCs w:val="32"/>
        </w:rPr>
        <w:t>)</w:t>
      </w:r>
    </w:p>
    <w:p w14:paraId="7AD15BA9" w14:textId="77777777" w:rsidR="00CA51E9" w:rsidRDefault="00CA51E9"/>
    <w:p w14:paraId="4CB649B8" w14:textId="77777777" w:rsidR="00CA51E9" w:rsidRDefault="00CA51E9">
      <w:pPr>
        <w:jc w:val="both"/>
        <w:rPr>
          <w:i/>
          <w:iCs/>
        </w:rPr>
      </w:pPr>
      <w:r>
        <w:rPr>
          <w:i/>
          <w:iCs/>
        </w:rPr>
        <w:t>Readings in the 200</w:t>
      </w:r>
      <w:r w:rsidR="00291FA9">
        <w:rPr>
          <w:i/>
          <w:iCs/>
        </w:rPr>
        <w:t>9</w:t>
      </w:r>
      <w:r>
        <w:rPr>
          <w:i/>
          <w:iCs/>
        </w:rPr>
        <w:t xml:space="preserve"> Statutory, Documentary and Case Supplement are noted below with </w:t>
      </w:r>
      <w:r>
        <w:rPr>
          <w:i/>
          <w:iCs/>
        </w:rPr>
        <w:sym w:font="WP TypographicSymbols" w:char="0041"/>
      </w:r>
      <w:r>
        <w:rPr>
          <w:i/>
          <w:iCs/>
        </w:rPr>
        <w:t>Supp.</w:t>
      </w:r>
      <w:r>
        <w:rPr>
          <w:i/>
          <w:iCs/>
        </w:rPr>
        <w:sym w:font="WP TypographicSymbols" w:char="0040"/>
      </w:r>
      <w:r>
        <w:rPr>
          <w:i/>
          <w:iCs/>
        </w:rPr>
        <w:t xml:space="preserve"> before the page numbers.  Almost every statute referred to in the casebook is reprinted, at least in part, in the Supplement, and you should review the full statute.  Certain assignments include cases t</w:t>
      </w:r>
      <w:r w:rsidR="00727D53">
        <w:rPr>
          <w:i/>
          <w:iCs/>
        </w:rPr>
        <w:t>hat are not in the casebook or S</w:t>
      </w:r>
      <w:r>
        <w:rPr>
          <w:i/>
          <w:iCs/>
        </w:rPr>
        <w:t xml:space="preserve">upplement, and are available on </w:t>
      </w:r>
      <w:r w:rsidR="00697625">
        <w:rPr>
          <w:i/>
          <w:iCs/>
        </w:rPr>
        <w:t>TWEN</w:t>
      </w:r>
      <w:r>
        <w:rPr>
          <w:i/>
          <w:iCs/>
        </w:rPr>
        <w:t xml:space="preserve">.  In </w:t>
      </w:r>
      <w:r w:rsidR="00FC11C5">
        <w:rPr>
          <w:i/>
          <w:iCs/>
        </w:rPr>
        <w:t>preparing for class</w:t>
      </w:r>
      <w:r>
        <w:rPr>
          <w:i/>
          <w:iCs/>
        </w:rPr>
        <w:t xml:space="preserve">, be sure to think particularly about how </w:t>
      </w:r>
      <w:r w:rsidR="00FC11C5">
        <w:rPr>
          <w:i/>
          <w:iCs/>
        </w:rPr>
        <w:t>a case</w:t>
      </w:r>
      <w:r>
        <w:rPr>
          <w:i/>
          <w:iCs/>
        </w:rPr>
        <w:t xml:space="preserve"> can be a means to counsel a client (or investigator) in the scenario presented in the problem(s).  Readings </w:t>
      </w:r>
      <w:proofErr w:type="gramStart"/>
      <w:r>
        <w:rPr>
          <w:i/>
          <w:iCs/>
        </w:rPr>
        <w:t>noted</w:t>
      </w:r>
      <w:proofErr w:type="gramEnd"/>
      <w:r>
        <w:rPr>
          <w:i/>
          <w:iCs/>
        </w:rPr>
        <w:t xml:space="preserve"> as </w:t>
      </w:r>
      <w:r w:rsidR="0054075A">
        <w:rPr>
          <w:i/>
          <w:iCs/>
        </w:rPr>
        <w:t>“</w:t>
      </w:r>
      <w:r>
        <w:rPr>
          <w:i/>
          <w:iCs/>
        </w:rPr>
        <w:t>Background</w:t>
      </w:r>
      <w:r w:rsidR="0054075A">
        <w:rPr>
          <w:i/>
          <w:iCs/>
        </w:rPr>
        <w:t>”</w:t>
      </w:r>
      <w:bookmarkStart w:id="0" w:name="_GoBack"/>
      <w:bookmarkEnd w:id="0"/>
      <w:r>
        <w:rPr>
          <w:i/>
          <w:iCs/>
        </w:rPr>
        <w:t xml:space="preserve"> will not be discussed in detail during class.</w:t>
      </w:r>
      <w:r>
        <w:rPr>
          <w:i/>
          <w:iCs/>
        </w:rPr>
        <w:tab/>
      </w:r>
      <w:r>
        <w:rPr>
          <w:i/>
          <w:iCs/>
        </w:rPr>
        <w:tab/>
      </w:r>
    </w:p>
    <w:p w14:paraId="08370445" w14:textId="77777777" w:rsidR="00697625" w:rsidRDefault="00697625">
      <w:pPr>
        <w:jc w:val="both"/>
        <w:rPr>
          <w:i/>
          <w:iCs/>
        </w:rPr>
      </w:pPr>
    </w:p>
    <w:p w14:paraId="41AB782C" w14:textId="77777777" w:rsidR="00CA51E9" w:rsidRDefault="00CA51E9">
      <w:pPr>
        <w:tabs>
          <w:tab w:val="center" w:pos="4680"/>
        </w:tabs>
      </w:pPr>
      <w:r>
        <w:tab/>
      </w:r>
      <w:r>
        <w:rPr>
          <w:b/>
          <w:bCs/>
          <w:sz w:val="28"/>
          <w:szCs w:val="28"/>
        </w:rPr>
        <w:t xml:space="preserve">I.  </w:t>
      </w:r>
      <w:r w:rsidRPr="00697625">
        <w:rPr>
          <w:rFonts w:ascii="Times New Roman Bold" w:hAnsi="Times New Roman Bold"/>
          <w:b/>
          <w:bCs/>
          <w:smallCaps/>
          <w:sz w:val="28"/>
          <w:szCs w:val="28"/>
        </w:rPr>
        <w:t>Federal Criminal Law Principles</w:t>
      </w:r>
    </w:p>
    <w:p w14:paraId="6A2E1729" w14:textId="77777777" w:rsidR="00D3001F" w:rsidRDefault="00D3001F" w:rsidP="00D3001F">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right="-288"/>
      </w:pPr>
    </w:p>
    <w:p w14:paraId="053B5E4F" w14:textId="77777777" w:rsidR="00D3001F" w:rsidRPr="00D3001F"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D3001F">
        <w:rPr>
          <w:i/>
          <w:iCs/>
        </w:rPr>
        <w:t>Introduction to White Collar Crime</w:t>
      </w:r>
      <w:r>
        <w:t xml:space="preserve">: </w:t>
      </w:r>
      <w:r w:rsidRPr="00D3001F">
        <w:rPr>
          <w:b/>
          <w:bCs/>
        </w:rPr>
        <w:t>1-</w:t>
      </w:r>
      <w:r w:rsidR="005D5761" w:rsidRPr="00D3001F">
        <w:rPr>
          <w:b/>
          <w:bCs/>
        </w:rPr>
        <w:t>22; 29-38</w:t>
      </w:r>
    </w:p>
    <w:p w14:paraId="519DAB14" w14:textId="77777777" w:rsidR="00D3001F" w:rsidRDefault="00D3001F"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28B908D1" w14:textId="77777777" w:rsidR="00D3001F" w:rsidRDefault="00D3001F"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Pr>
          <w:i/>
          <w:iCs/>
        </w:rPr>
        <w:t>S</w:t>
      </w:r>
      <w:r w:rsidR="00CA51E9" w:rsidRPr="00D3001F">
        <w:rPr>
          <w:i/>
          <w:iCs/>
        </w:rPr>
        <w:t>tatutory Interpretation</w:t>
      </w:r>
      <w:r w:rsidR="00CA51E9">
        <w:t xml:space="preserve">: </w:t>
      </w:r>
      <w:r w:rsidR="00F304BD" w:rsidRPr="00D3001F">
        <w:rPr>
          <w:b/>
          <w:bCs/>
        </w:rPr>
        <w:t>89</w:t>
      </w:r>
      <w:r w:rsidR="00CA51E9" w:rsidRPr="00D3001F">
        <w:rPr>
          <w:b/>
          <w:bCs/>
        </w:rPr>
        <w:t>-11</w:t>
      </w:r>
      <w:r w:rsidR="00F304BD" w:rsidRPr="00D3001F">
        <w:rPr>
          <w:b/>
          <w:bCs/>
        </w:rPr>
        <w:t>7</w:t>
      </w:r>
      <w:r w:rsidR="00F304BD">
        <w:t>; 285-293</w:t>
      </w:r>
      <w:r w:rsidR="00CD7F0B">
        <w:t xml:space="preserve"> [</w:t>
      </w:r>
      <w:r w:rsidR="00CA51E9">
        <w:t>Background</w:t>
      </w:r>
      <w:r w:rsidR="00F304BD">
        <w:t xml:space="preserve"> only</w:t>
      </w:r>
      <w:r w:rsidR="00CD7F0B">
        <w:t>]</w:t>
      </w:r>
    </w:p>
    <w:p w14:paraId="5D93F8A4" w14:textId="77777777" w:rsidR="00D3001F" w:rsidRDefault="00D3001F"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rPr>
          <w:i/>
          <w:iCs/>
        </w:rPr>
      </w:pPr>
    </w:p>
    <w:p w14:paraId="10B686B2" w14:textId="77777777" w:rsidR="00D3001F" w:rsidRDefault="00D3001F" w:rsidP="00970272">
      <w:pPr>
        <w:tabs>
          <w:tab w:val="center" w:pos="4680"/>
          <w:tab w:val="left" w:pos="4752"/>
          <w:tab w:val="left" w:pos="5472"/>
          <w:tab w:val="left" w:pos="6192"/>
          <w:tab w:val="left" w:pos="6912"/>
          <w:tab w:val="left" w:pos="7632"/>
          <w:tab w:val="left" w:pos="8352"/>
          <w:tab w:val="left" w:pos="9072"/>
        </w:tabs>
      </w:pPr>
      <w:r>
        <w:tab/>
      </w:r>
      <w:r>
        <w:rPr>
          <w:b/>
          <w:bCs/>
          <w:sz w:val="28"/>
          <w:szCs w:val="28"/>
        </w:rPr>
        <w:t xml:space="preserve">II.  </w:t>
      </w:r>
      <w:r w:rsidRPr="00697625">
        <w:rPr>
          <w:rFonts w:ascii="Times New Roman Bold" w:hAnsi="Times New Roman Bold"/>
          <w:b/>
          <w:bCs/>
          <w:smallCaps/>
          <w:sz w:val="28"/>
          <w:szCs w:val="28"/>
        </w:rPr>
        <w:t>Statutory Bases for White Collar Prosecutions</w:t>
      </w:r>
    </w:p>
    <w:p w14:paraId="455A0958" w14:textId="77777777" w:rsidR="00D3001F" w:rsidRDefault="00D3001F" w:rsidP="00970272">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p>
    <w:p w14:paraId="2A255507" w14:textId="77777777" w:rsidR="00D3001F" w:rsidRPr="00D3001F"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D3001F">
        <w:rPr>
          <w:i/>
          <w:iCs/>
        </w:rPr>
        <w:t>Public Corrup</w:t>
      </w:r>
      <w:r w:rsidR="00727D53" w:rsidRPr="00D3001F">
        <w:rPr>
          <w:i/>
          <w:iCs/>
        </w:rPr>
        <w:t>tion – Bribery &amp; Unlawful Gratuities</w:t>
      </w:r>
      <w:r w:rsidRPr="00D3001F">
        <w:rPr>
          <w:i/>
          <w:iCs/>
        </w:rPr>
        <w:t xml:space="preserve">: </w:t>
      </w:r>
      <w:r w:rsidR="00F304BD" w:rsidRPr="00D3001F">
        <w:rPr>
          <w:b/>
          <w:bCs/>
        </w:rPr>
        <w:t>22-28; 117-144</w:t>
      </w:r>
    </w:p>
    <w:p w14:paraId="753BC222" w14:textId="77777777" w:rsidR="00D3001F" w:rsidRDefault="00D3001F"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10939554" w14:textId="77777777" w:rsidR="00D3001F" w:rsidRPr="00D3001F"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D3001F">
        <w:rPr>
          <w:i/>
          <w:iCs/>
        </w:rPr>
        <w:t>Right of Honest Services</w:t>
      </w:r>
      <w:r>
        <w:t>:</w:t>
      </w:r>
      <w:r w:rsidR="00F304BD" w:rsidRPr="00D3001F">
        <w:rPr>
          <w:b/>
          <w:bCs/>
        </w:rPr>
        <w:t xml:space="preserve"> 147</w:t>
      </w:r>
      <w:r w:rsidRPr="00D3001F">
        <w:rPr>
          <w:b/>
          <w:bCs/>
        </w:rPr>
        <w:t>-15</w:t>
      </w:r>
      <w:r w:rsidR="00F304BD" w:rsidRPr="00D3001F">
        <w:rPr>
          <w:b/>
          <w:bCs/>
        </w:rPr>
        <w:t xml:space="preserve">8; </w:t>
      </w:r>
      <w:r w:rsidR="00CA7DAC">
        <w:rPr>
          <w:b/>
          <w:bCs/>
          <w:i/>
        </w:rPr>
        <w:t>United States v. Skilling</w:t>
      </w:r>
      <w:r w:rsidR="007541F4">
        <w:rPr>
          <w:b/>
          <w:bCs/>
        </w:rPr>
        <w:t xml:space="preserve">, </w:t>
      </w:r>
      <w:r w:rsidR="007541F4" w:rsidRPr="007541F4">
        <w:rPr>
          <w:b/>
          <w:bCs/>
        </w:rPr>
        <w:t xml:space="preserve">130 </w:t>
      </w:r>
      <w:proofErr w:type="spellStart"/>
      <w:r w:rsidR="007541F4" w:rsidRPr="007541F4">
        <w:rPr>
          <w:b/>
          <w:bCs/>
        </w:rPr>
        <w:t>S.Ct</w:t>
      </w:r>
      <w:proofErr w:type="spellEnd"/>
      <w:r w:rsidR="007541F4" w:rsidRPr="007541F4">
        <w:rPr>
          <w:b/>
          <w:bCs/>
        </w:rPr>
        <w:t>. 2896</w:t>
      </w:r>
    </w:p>
    <w:p w14:paraId="08D47E7A" w14:textId="77777777" w:rsidR="00D3001F" w:rsidRDefault="00D3001F"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5B04C252" w14:textId="77777777" w:rsidR="00D3001F" w:rsidRPr="00D3001F"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D3001F">
        <w:rPr>
          <w:i/>
          <w:iCs/>
        </w:rPr>
        <w:t>Private Sector Fraud</w:t>
      </w:r>
      <w:r>
        <w:t xml:space="preserve">: </w:t>
      </w:r>
      <w:r w:rsidR="000E393A" w:rsidRPr="00D3001F">
        <w:rPr>
          <w:b/>
          <w:bCs/>
        </w:rPr>
        <w:t>145-147; 158</w:t>
      </w:r>
      <w:r w:rsidR="00DB71BD">
        <w:rPr>
          <w:b/>
          <w:bCs/>
        </w:rPr>
        <w:t>-70; 190-195</w:t>
      </w:r>
      <w:r w:rsidR="000E393A" w:rsidRPr="00D3001F">
        <w:rPr>
          <w:b/>
          <w:bCs/>
        </w:rPr>
        <w:t xml:space="preserve">; </w:t>
      </w:r>
      <w:r w:rsidRPr="00D3001F">
        <w:rPr>
          <w:b/>
          <w:bCs/>
          <w:i/>
          <w:iCs/>
        </w:rPr>
        <w:t>United States v. Walters</w:t>
      </w:r>
      <w:r w:rsidRPr="00D3001F">
        <w:rPr>
          <w:b/>
          <w:bCs/>
        </w:rPr>
        <w:t xml:space="preserve"> 997 F</w:t>
      </w:r>
      <w:r w:rsidR="000E393A" w:rsidRPr="00D3001F">
        <w:rPr>
          <w:b/>
          <w:bCs/>
        </w:rPr>
        <w:t>.</w:t>
      </w:r>
      <w:r w:rsidRPr="00D3001F">
        <w:rPr>
          <w:b/>
          <w:bCs/>
        </w:rPr>
        <w:t>2d 1219</w:t>
      </w:r>
    </w:p>
    <w:p w14:paraId="609F9FE0" w14:textId="77777777" w:rsidR="00D3001F" w:rsidRDefault="00D3001F"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66C53747" w14:textId="77777777" w:rsidR="00D3001F" w:rsidRPr="00D3001F"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D3001F">
        <w:rPr>
          <w:i/>
          <w:iCs/>
        </w:rPr>
        <w:t>Elements of Mail/Wire Fraud</w:t>
      </w:r>
      <w:r w:rsidR="00727D53" w:rsidRPr="00D3001F">
        <w:rPr>
          <w:i/>
          <w:iCs/>
        </w:rPr>
        <w:t xml:space="preserve"> &amp; Money Laundering</w:t>
      </w:r>
      <w:r>
        <w:t xml:space="preserve">: </w:t>
      </w:r>
      <w:r w:rsidR="0019411B" w:rsidRPr="00D3001F">
        <w:rPr>
          <w:b/>
          <w:bCs/>
        </w:rPr>
        <w:t>196</w:t>
      </w:r>
      <w:r w:rsidRPr="00D3001F">
        <w:rPr>
          <w:b/>
          <w:bCs/>
        </w:rPr>
        <w:t>-2</w:t>
      </w:r>
      <w:r w:rsidR="0019411B" w:rsidRPr="00D3001F">
        <w:rPr>
          <w:b/>
          <w:bCs/>
        </w:rPr>
        <w:t>19</w:t>
      </w:r>
    </w:p>
    <w:p w14:paraId="36E69601" w14:textId="77777777" w:rsidR="00D3001F" w:rsidRDefault="00D3001F"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47157DD4" w14:textId="77777777" w:rsidR="00D3001F" w:rsidRPr="00D3001F"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D3001F">
        <w:rPr>
          <w:i/>
          <w:iCs/>
        </w:rPr>
        <w:t>RICO Enterprise</w:t>
      </w:r>
      <w:r>
        <w:t xml:space="preserve">: </w:t>
      </w:r>
      <w:r w:rsidRPr="00D3001F">
        <w:rPr>
          <w:b/>
          <w:bCs/>
        </w:rPr>
        <w:t>2</w:t>
      </w:r>
      <w:r w:rsidR="00727D53" w:rsidRPr="00D3001F">
        <w:rPr>
          <w:b/>
          <w:bCs/>
        </w:rPr>
        <w:t>20-227</w:t>
      </w:r>
      <w:r w:rsidRPr="00D3001F">
        <w:rPr>
          <w:b/>
          <w:bCs/>
        </w:rPr>
        <w:t xml:space="preserve">; Supp. </w:t>
      </w:r>
      <w:r w:rsidR="00727D53" w:rsidRPr="00D3001F">
        <w:rPr>
          <w:b/>
          <w:bCs/>
        </w:rPr>
        <w:t>4-7 (</w:t>
      </w:r>
      <w:r w:rsidR="00727D53" w:rsidRPr="00D3001F">
        <w:rPr>
          <w:b/>
          <w:bCs/>
          <w:i/>
        </w:rPr>
        <w:t>Boyle v. United States)</w:t>
      </w:r>
      <w:r w:rsidR="00727D53" w:rsidRPr="00D3001F">
        <w:rPr>
          <w:b/>
          <w:bCs/>
        </w:rPr>
        <w:t>; 230-253</w:t>
      </w:r>
    </w:p>
    <w:p w14:paraId="1E890336" w14:textId="77777777" w:rsidR="00D3001F" w:rsidRDefault="00D3001F"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094CF641" w14:textId="77777777" w:rsidR="00D3001F" w:rsidRPr="00D3001F"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D3001F">
        <w:rPr>
          <w:i/>
          <w:iCs/>
        </w:rPr>
        <w:t>RICO &amp; Conspiracy</w:t>
      </w:r>
      <w:r>
        <w:t xml:space="preserve">: </w:t>
      </w:r>
      <w:r w:rsidR="00727D53" w:rsidRPr="00D3001F">
        <w:rPr>
          <w:b/>
          <w:bCs/>
        </w:rPr>
        <w:t>85-88</w:t>
      </w:r>
      <w:r w:rsidRPr="00D3001F">
        <w:rPr>
          <w:b/>
          <w:bCs/>
        </w:rPr>
        <w:t>; 2</w:t>
      </w:r>
      <w:r w:rsidR="00727D53" w:rsidRPr="00D3001F">
        <w:rPr>
          <w:b/>
          <w:bCs/>
        </w:rPr>
        <w:t>53-268</w:t>
      </w:r>
      <w:r>
        <w:t xml:space="preserve">; </w:t>
      </w:r>
      <w:r w:rsidRPr="00D3001F">
        <w:rPr>
          <w:b/>
          <w:bCs/>
          <w:i/>
          <w:iCs/>
        </w:rPr>
        <w:t xml:space="preserve">United States v. McDermott </w:t>
      </w:r>
      <w:r w:rsidRPr="00D3001F">
        <w:rPr>
          <w:b/>
          <w:bCs/>
        </w:rPr>
        <w:t>277 F</w:t>
      </w:r>
      <w:r w:rsidR="00727D53" w:rsidRPr="00D3001F">
        <w:rPr>
          <w:b/>
          <w:bCs/>
        </w:rPr>
        <w:t>.</w:t>
      </w:r>
      <w:r w:rsidRPr="00D3001F">
        <w:rPr>
          <w:b/>
          <w:bCs/>
        </w:rPr>
        <w:t>3d 240</w:t>
      </w:r>
    </w:p>
    <w:p w14:paraId="688FC19A" w14:textId="77777777" w:rsidR="00D3001F" w:rsidRDefault="00D3001F"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6E030E4E" w14:textId="77777777" w:rsidR="00697625"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D3001F">
        <w:rPr>
          <w:i/>
          <w:iCs/>
        </w:rPr>
        <w:t>Perjury, False Statements &amp; Obstruction of Justice</w:t>
      </w:r>
      <w:r>
        <w:t xml:space="preserve">: </w:t>
      </w:r>
      <w:r w:rsidRPr="00D3001F">
        <w:rPr>
          <w:b/>
          <w:bCs/>
        </w:rPr>
        <w:t>3</w:t>
      </w:r>
      <w:r w:rsidR="00E62A43" w:rsidRPr="00D3001F">
        <w:rPr>
          <w:b/>
          <w:bCs/>
        </w:rPr>
        <w:t>21-346</w:t>
      </w:r>
    </w:p>
    <w:p w14:paraId="0648AC9E" w14:textId="77777777" w:rsidR="00697625" w:rsidRPr="00697625" w:rsidRDefault="00697625"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2D12DAA1" w14:textId="77777777" w:rsidR="00D3001F" w:rsidRPr="00D3001F"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697625">
        <w:rPr>
          <w:i/>
          <w:iCs/>
        </w:rPr>
        <w:t xml:space="preserve">Corporate Criminal Liability: </w:t>
      </w:r>
      <w:r w:rsidR="00E62A43" w:rsidRPr="00697625">
        <w:rPr>
          <w:b/>
          <w:iCs/>
        </w:rPr>
        <w:t>50-76</w:t>
      </w:r>
      <w:r w:rsidR="00CD7F0B" w:rsidRPr="00697625">
        <w:rPr>
          <w:b/>
          <w:iCs/>
        </w:rPr>
        <w:t xml:space="preserve">; </w:t>
      </w:r>
      <w:r w:rsidR="00CD7F0B" w:rsidRPr="00697625">
        <w:rPr>
          <w:iCs/>
        </w:rPr>
        <w:t>Supp. 216-234 (Bristol-Myers Squibb Deferred Prosecution Agreement) [Background]</w:t>
      </w:r>
    </w:p>
    <w:p w14:paraId="475A12ED" w14:textId="77777777" w:rsidR="00697625" w:rsidRDefault="00697625" w:rsidP="00970272">
      <w:pPr>
        <w:tabs>
          <w:tab w:val="center" w:pos="4968"/>
        </w:tabs>
      </w:pPr>
    </w:p>
    <w:p w14:paraId="6594F007" w14:textId="77777777" w:rsidR="00D3001F" w:rsidRDefault="00D3001F" w:rsidP="00970272">
      <w:pPr>
        <w:tabs>
          <w:tab w:val="center" w:pos="4968"/>
        </w:tabs>
        <w:rPr>
          <w:sz w:val="28"/>
          <w:szCs w:val="28"/>
        </w:rPr>
      </w:pPr>
      <w:r>
        <w:tab/>
      </w:r>
      <w:r>
        <w:rPr>
          <w:b/>
          <w:bCs/>
          <w:sz w:val="28"/>
          <w:szCs w:val="28"/>
        </w:rPr>
        <w:t xml:space="preserve">III.  </w:t>
      </w:r>
      <w:r w:rsidRPr="00697625">
        <w:rPr>
          <w:rFonts w:ascii="Times New Roman Bold" w:hAnsi="Times New Roman Bold"/>
          <w:b/>
          <w:bCs/>
          <w:smallCaps/>
          <w:sz w:val="28"/>
          <w:szCs w:val="28"/>
        </w:rPr>
        <w:t>The Investigation of White Collar Crime</w:t>
      </w:r>
    </w:p>
    <w:p w14:paraId="1DC925E5" w14:textId="77777777" w:rsidR="00D3001F" w:rsidRDefault="00D3001F" w:rsidP="00970272">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p>
    <w:p w14:paraId="48BF8481" w14:textId="77777777" w:rsidR="00D3001F" w:rsidRPr="00D3001F"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D3001F">
        <w:rPr>
          <w:i/>
          <w:iCs/>
        </w:rPr>
        <w:t>Grand Jury Subpoenas for Records &amp; Evidence</w:t>
      </w:r>
      <w:r>
        <w:t xml:space="preserve">: </w:t>
      </w:r>
      <w:r w:rsidR="009D0112">
        <w:rPr>
          <w:b/>
          <w:bCs/>
        </w:rPr>
        <w:t>347-390</w:t>
      </w:r>
      <w:r w:rsidR="004A6BF9">
        <w:rPr>
          <w:b/>
          <w:bCs/>
        </w:rPr>
        <w:t xml:space="preserve">; </w:t>
      </w:r>
      <w:r w:rsidR="004A6BF9" w:rsidRPr="000B5F09">
        <w:rPr>
          <w:bCs/>
        </w:rPr>
        <w:t>Supp. 260-261 (Grand Jury Subpoena)</w:t>
      </w:r>
      <w:r w:rsidR="000B5F09">
        <w:rPr>
          <w:bCs/>
        </w:rPr>
        <w:t xml:space="preserve"> [Background]</w:t>
      </w:r>
    </w:p>
    <w:p w14:paraId="764B192F" w14:textId="77777777" w:rsidR="00A809AD" w:rsidRDefault="00A809AD"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3A12157D" w14:textId="77777777" w:rsidR="00A809AD" w:rsidRPr="00CD7F0B" w:rsidRDefault="00A809AD"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CD7F0B">
        <w:rPr>
          <w:i/>
          <w:iCs/>
        </w:rPr>
        <w:t>The Act of Production Doctrine</w:t>
      </w:r>
      <w:r>
        <w:t xml:space="preserve">: </w:t>
      </w:r>
      <w:r>
        <w:rPr>
          <w:b/>
        </w:rPr>
        <w:t>391-424</w:t>
      </w:r>
    </w:p>
    <w:p w14:paraId="62CF2829" w14:textId="77777777" w:rsidR="00A809AD" w:rsidRDefault="00A809AD"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40449F3C" w14:textId="77777777" w:rsidR="00A809AD" w:rsidRPr="00A809AD" w:rsidRDefault="00A809AD"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CD7F0B">
        <w:rPr>
          <w:i/>
          <w:iCs/>
        </w:rPr>
        <w:t>Grand Jury Access to Corporate Records:</w:t>
      </w:r>
      <w:r w:rsidRPr="00CD7F0B">
        <w:rPr>
          <w:b/>
          <w:bCs/>
          <w:i/>
          <w:iCs/>
        </w:rPr>
        <w:t xml:space="preserve"> </w:t>
      </w:r>
      <w:r w:rsidRPr="00CD7F0B">
        <w:rPr>
          <w:b/>
          <w:bCs/>
          <w:iCs/>
        </w:rPr>
        <w:t>424-449</w:t>
      </w:r>
      <w:r w:rsidRPr="00CD7F0B">
        <w:t>;</w:t>
      </w:r>
      <w:r>
        <w:t xml:space="preserve"> </w:t>
      </w:r>
      <w:r w:rsidRPr="00CD7F0B">
        <w:rPr>
          <w:b/>
          <w:bCs/>
          <w:i/>
          <w:iCs/>
        </w:rPr>
        <w:t xml:space="preserve">In re Subpoena </w:t>
      </w:r>
      <w:proofErr w:type="spellStart"/>
      <w:r w:rsidRPr="00CD7F0B">
        <w:rPr>
          <w:b/>
          <w:bCs/>
          <w:i/>
          <w:iCs/>
        </w:rPr>
        <w:t>Duces</w:t>
      </w:r>
      <w:proofErr w:type="spellEnd"/>
      <w:r w:rsidRPr="00CD7F0B">
        <w:rPr>
          <w:b/>
          <w:bCs/>
          <w:i/>
          <w:iCs/>
        </w:rPr>
        <w:t xml:space="preserve"> </w:t>
      </w:r>
      <w:proofErr w:type="spellStart"/>
      <w:r w:rsidRPr="00CD7F0B">
        <w:rPr>
          <w:b/>
          <w:bCs/>
          <w:i/>
          <w:iCs/>
        </w:rPr>
        <w:t>Tecum</w:t>
      </w:r>
      <w:proofErr w:type="spellEnd"/>
      <w:r w:rsidRPr="00CD7F0B">
        <w:rPr>
          <w:b/>
          <w:bCs/>
          <w:i/>
          <w:iCs/>
        </w:rPr>
        <w:t xml:space="preserve"> (Variety Distributing)</w:t>
      </w:r>
      <w:r w:rsidRPr="00CD7F0B">
        <w:rPr>
          <w:b/>
          <w:bCs/>
        </w:rPr>
        <w:t xml:space="preserve"> 927 F</w:t>
      </w:r>
      <w:r>
        <w:rPr>
          <w:b/>
          <w:bCs/>
        </w:rPr>
        <w:t>.</w:t>
      </w:r>
      <w:r w:rsidRPr="00CD7F0B">
        <w:rPr>
          <w:b/>
          <w:bCs/>
        </w:rPr>
        <w:t>2d 244</w:t>
      </w:r>
    </w:p>
    <w:p w14:paraId="239DA1AE" w14:textId="77777777" w:rsidR="00A809AD" w:rsidRPr="006F167D" w:rsidRDefault="00A809AD"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715064BA" w14:textId="77777777" w:rsidR="00A809AD" w:rsidRPr="00CD7F0B" w:rsidRDefault="00A809AD"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6F167D">
        <w:rPr>
          <w:i/>
        </w:rPr>
        <w:t>Review and Catch-up</w:t>
      </w:r>
    </w:p>
    <w:p w14:paraId="34352F94" w14:textId="77777777" w:rsidR="00A809AD" w:rsidRDefault="00A809AD"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776F0BEA" w14:textId="77777777" w:rsidR="00D3001F" w:rsidRPr="00D3001F"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D3001F">
        <w:rPr>
          <w:i/>
          <w:iCs/>
        </w:rPr>
        <w:t xml:space="preserve">Challenging the Grand Jury: </w:t>
      </w:r>
      <w:r w:rsidR="00A809AD">
        <w:rPr>
          <w:b/>
          <w:iCs/>
        </w:rPr>
        <w:t>450-475</w:t>
      </w:r>
    </w:p>
    <w:p w14:paraId="7A291753" w14:textId="77777777" w:rsidR="00D3001F" w:rsidRDefault="00D3001F"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1570CD28" w14:textId="77777777" w:rsidR="00A809AD" w:rsidRPr="00A809AD"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D3001F">
        <w:rPr>
          <w:i/>
          <w:iCs/>
        </w:rPr>
        <w:t>Prosecutorial Misconduct</w:t>
      </w:r>
      <w:r>
        <w:t xml:space="preserve">: </w:t>
      </w:r>
      <w:r w:rsidR="00A809AD">
        <w:rPr>
          <w:b/>
          <w:bCs/>
        </w:rPr>
        <w:t>475-502</w:t>
      </w:r>
      <w:r w:rsidRPr="00D3001F">
        <w:rPr>
          <w:b/>
          <w:bCs/>
        </w:rPr>
        <w:t xml:space="preserve"> </w:t>
      </w:r>
    </w:p>
    <w:p w14:paraId="237B30B4" w14:textId="77777777" w:rsidR="00A809AD" w:rsidRPr="00A809AD" w:rsidRDefault="00A809AD"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48083392" w14:textId="77777777" w:rsidR="00A809AD" w:rsidRPr="00A809AD"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A809AD">
        <w:rPr>
          <w:i/>
          <w:iCs/>
        </w:rPr>
        <w:t xml:space="preserve">Searches in White Collar Cases: </w:t>
      </w:r>
      <w:r w:rsidR="00A809AD" w:rsidRPr="00A809AD">
        <w:rPr>
          <w:b/>
          <w:iCs/>
        </w:rPr>
        <w:t>503-550</w:t>
      </w:r>
    </w:p>
    <w:p w14:paraId="7DAF3B22" w14:textId="77777777" w:rsidR="00A809AD" w:rsidRPr="00A809AD" w:rsidRDefault="00A809AD"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467C720D" w14:textId="77777777" w:rsidR="00A809AD" w:rsidRDefault="00A809AD"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A809AD">
        <w:rPr>
          <w:i/>
          <w:iCs/>
        </w:rPr>
        <w:t>The Privilege Against Self-Incrimination</w:t>
      </w:r>
      <w:r>
        <w:t xml:space="preserve">: </w:t>
      </w:r>
      <w:r w:rsidR="004A6BF9">
        <w:rPr>
          <w:b/>
          <w:bCs/>
        </w:rPr>
        <w:t>556-601</w:t>
      </w:r>
    </w:p>
    <w:p w14:paraId="2F302960" w14:textId="77777777" w:rsidR="00A809AD" w:rsidRDefault="00A809AD" w:rsidP="00B059B3">
      <w:pPr>
        <w:ind w:left="360"/>
      </w:pPr>
    </w:p>
    <w:p w14:paraId="65B01ABE" w14:textId="77777777" w:rsidR="004A6BF9" w:rsidRPr="004A6BF9"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4A6BF9">
        <w:rPr>
          <w:i/>
          <w:iCs/>
        </w:rPr>
        <w:t>Regulatory Agency Investigations (</w:t>
      </w:r>
      <w:r>
        <w:rPr>
          <w:i/>
          <w:iCs/>
        </w:rPr>
        <w:sym w:font="WP TypographicSymbols" w:char="0041"/>
      </w:r>
      <w:r w:rsidRPr="004A6BF9">
        <w:rPr>
          <w:i/>
          <w:iCs/>
        </w:rPr>
        <w:t xml:space="preserve"> I</w:t>
      </w:r>
      <w:r>
        <w:rPr>
          <w:i/>
          <w:iCs/>
        </w:rPr>
        <w:sym w:font="WP TypographicSymbols" w:char="003D"/>
      </w:r>
      <w:r w:rsidRPr="004A6BF9">
        <w:rPr>
          <w:i/>
          <w:iCs/>
        </w:rPr>
        <w:t>m from the Government and I</w:t>
      </w:r>
      <w:r>
        <w:rPr>
          <w:i/>
          <w:iCs/>
        </w:rPr>
        <w:sym w:font="WP TypographicSymbols" w:char="003D"/>
      </w:r>
      <w:r w:rsidRPr="004A6BF9">
        <w:rPr>
          <w:i/>
          <w:iCs/>
        </w:rPr>
        <w:t>m Here to Help</w:t>
      </w:r>
      <w:r>
        <w:rPr>
          <w:i/>
          <w:iCs/>
        </w:rPr>
        <w:sym w:font="WP TypographicSymbols" w:char="0040"/>
      </w:r>
      <w:r w:rsidRPr="004A6BF9">
        <w:rPr>
          <w:i/>
          <w:iCs/>
        </w:rPr>
        <w:t>)</w:t>
      </w:r>
      <w:r>
        <w:t xml:space="preserve">: </w:t>
      </w:r>
      <w:r w:rsidR="004A6BF9">
        <w:rPr>
          <w:b/>
          <w:bCs/>
        </w:rPr>
        <w:t xml:space="preserve">602-643; </w:t>
      </w:r>
      <w:r w:rsidR="004A6BF9" w:rsidRPr="000B5F09">
        <w:rPr>
          <w:bCs/>
        </w:rPr>
        <w:t>Supp. 252-259 (SEC Form 1662)</w:t>
      </w:r>
      <w:r w:rsidR="000B5F09">
        <w:rPr>
          <w:bCs/>
        </w:rPr>
        <w:t xml:space="preserve"> [Background]</w:t>
      </w:r>
    </w:p>
    <w:p w14:paraId="2FFEE72E" w14:textId="77777777" w:rsidR="004A6BF9" w:rsidRDefault="004A6BF9"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60F7A8B9" w14:textId="77777777" w:rsidR="004A6BF9"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4A6BF9">
        <w:rPr>
          <w:i/>
          <w:iCs/>
        </w:rPr>
        <w:t>The Parallel Proceedings Problem</w:t>
      </w:r>
      <w:r>
        <w:t xml:space="preserve">: </w:t>
      </w:r>
      <w:r w:rsidR="004A6BF9" w:rsidRPr="004A6BF9">
        <w:rPr>
          <w:b/>
        </w:rPr>
        <w:t>643-680</w:t>
      </w:r>
    </w:p>
    <w:p w14:paraId="1810B952" w14:textId="77777777" w:rsidR="004A6BF9" w:rsidRDefault="004A6BF9"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54A238C8" w14:textId="77777777" w:rsidR="00242D2C"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4A6BF9">
        <w:rPr>
          <w:i/>
          <w:iCs/>
        </w:rPr>
        <w:t>The Attorney-Client Privilege and Work Product Doctrine</w:t>
      </w:r>
      <w:r>
        <w:t xml:space="preserve">: </w:t>
      </w:r>
      <w:r w:rsidR="00242D2C" w:rsidRPr="00242D2C">
        <w:rPr>
          <w:b/>
        </w:rPr>
        <w:t>681-</w:t>
      </w:r>
      <w:r w:rsidRPr="004A6BF9">
        <w:rPr>
          <w:b/>
          <w:bCs/>
        </w:rPr>
        <w:t>7</w:t>
      </w:r>
      <w:r w:rsidR="00242D2C">
        <w:rPr>
          <w:b/>
          <w:bCs/>
        </w:rPr>
        <w:t>18</w:t>
      </w:r>
      <w:r>
        <w:t xml:space="preserve"> </w:t>
      </w:r>
    </w:p>
    <w:p w14:paraId="6E69411F" w14:textId="77777777" w:rsidR="00242D2C" w:rsidRDefault="00242D2C"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56F434C0" w14:textId="77777777" w:rsidR="00242D2C" w:rsidRPr="000B5F09"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242D2C">
        <w:rPr>
          <w:i/>
          <w:iCs/>
        </w:rPr>
        <w:t xml:space="preserve">The Limits of the Privilege: Voluntary Disclosure, Crime-Fraud, &amp; Joint Defense Agreements: </w:t>
      </w:r>
      <w:r w:rsidRPr="00242D2C">
        <w:rPr>
          <w:b/>
          <w:bCs/>
        </w:rPr>
        <w:t>7</w:t>
      </w:r>
      <w:r w:rsidR="00242D2C">
        <w:rPr>
          <w:b/>
          <w:bCs/>
        </w:rPr>
        <w:t>18-760</w:t>
      </w:r>
      <w:r>
        <w:t xml:space="preserve">; </w:t>
      </w:r>
      <w:r w:rsidRPr="000B5F09">
        <w:rPr>
          <w:bCs/>
        </w:rPr>
        <w:t xml:space="preserve">Supp. </w:t>
      </w:r>
      <w:r w:rsidR="00A809AD" w:rsidRPr="000B5F09">
        <w:rPr>
          <w:bCs/>
        </w:rPr>
        <w:t>248-251 (Model Joint Defense Agreement)</w:t>
      </w:r>
      <w:r w:rsidR="000B5F09">
        <w:rPr>
          <w:bCs/>
        </w:rPr>
        <w:t xml:space="preserve"> [Background]</w:t>
      </w:r>
    </w:p>
    <w:p w14:paraId="71989891" w14:textId="77777777" w:rsidR="00242D2C" w:rsidRDefault="00242D2C"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0621E552" w14:textId="77777777" w:rsidR="00242D2C" w:rsidRPr="00242D2C"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242D2C">
        <w:rPr>
          <w:i/>
          <w:iCs/>
        </w:rPr>
        <w:t xml:space="preserve">The Lawyer-Client Relationship: </w:t>
      </w:r>
      <w:r w:rsidRPr="00242D2C">
        <w:rPr>
          <w:b/>
          <w:bCs/>
        </w:rPr>
        <w:t>7</w:t>
      </w:r>
      <w:r w:rsidR="00242D2C">
        <w:rPr>
          <w:b/>
          <w:bCs/>
        </w:rPr>
        <w:t>62-793</w:t>
      </w:r>
      <w:r w:rsidRPr="00242D2C">
        <w:rPr>
          <w:b/>
          <w:bCs/>
        </w:rPr>
        <w:t xml:space="preserve">; </w:t>
      </w:r>
      <w:r w:rsidRPr="00242D2C">
        <w:rPr>
          <w:b/>
          <w:bCs/>
          <w:i/>
          <w:iCs/>
        </w:rPr>
        <w:t xml:space="preserve">United States v. </w:t>
      </w:r>
      <w:proofErr w:type="spellStart"/>
      <w:r w:rsidRPr="00242D2C">
        <w:rPr>
          <w:b/>
          <w:bCs/>
          <w:i/>
          <w:iCs/>
        </w:rPr>
        <w:t>Kellington</w:t>
      </w:r>
      <w:proofErr w:type="spellEnd"/>
      <w:r w:rsidRPr="00242D2C">
        <w:rPr>
          <w:b/>
          <w:bCs/>
        </w:rPr>
        <w:t>, 217 F</w:t>
      </w:r>
      <w:r w:rsidR="00242D2C">
        <w:rPr>
          <w:b/>
          <w:bCs/>
        </w:rPr>
        <w:t>.</w:t>
      </w:r>
      <w:r w:rsidRPr="00242D2C">
        <w:rPr>
          <w:b/>
          <w:bCs/>
        </w:rPr>
        <w:t>3d 1084</w:t>
      </w:r>
      <w:r>
        <w:t xml:space="preserve">; </w:t>
      </w:r>
      <w:r w:rsidRPr="000B5F09">
        <w:rPr>
          <w:bCs/>
        </w:rPr>
        <w:t xml:space="preserve">Supp. </w:t>
      </w:r>
      <w:r w:rsidR="00242D2C" w:rsidRPr="000B5F09">
        <w:rPr>
          <w:bCs/>
        </w:rPr>
        <w:t>301-305 (IRS Form 8300)</w:t>
      </w:r>
      <w:r w:rsidR="000B5F09">
        <w:rPr>
          <w:bCs/>
        </w:rPr>
        <w:t xml:space="preserve"> [Background]</w:t>
      </w:r>
    </w:p>
    <w:p w14:paraId="5D672AF7" w14:textId="77777777" w:rsidR="00242D2C" w:rsidRDefault="00242D2C"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59E83E10" w14:textId="77777777" w:rsidR="00242D2C" w:rsidRPr="00242D2C"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242D2C">
        <w:rPr>
          <w:i/>
          <w:iCs/>
        </w:rPr>
        <w:t>Prosecutors v. Defense Counsel</w:t>
      </w:r>
      <w:r>
        <w:t xml:space="preserve">: </w:t>
      </w:r>
      <w:r w:rsidR="00242D2C">
        <w:rPr>
          <w:b/>
          <w:bCs/>
        </w:rPr>
        <w:t>793</w:t>
      </w:r>
      <w:r w:rsidRPr="00242D2C">
        <w:rPr>
          <w:b/>
          <w:bCs/>
        </w:rPr>
        <w:t>-826</w:t>
      </w:r>
    </w:p>
    <w:p w14:paraId="3DA1E113" w14:textId="77777777" w:rsidR="00242D2C" w:rsidRDefault="00242D2C" w:rsidP="00B059B3">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pPr>
    </w:p>
    <w:p w14:paraId="06447A03" w14:textId="77777777" w:rsidR="00242D2C" w:rsidRPr="00242D2C" w:rsidRDefault="00CA51E9" w:rsidP="00B059B3">
      <w:pPr>
        <w:pStyle w:val="Quick1"/>
        <w:numPr>
          <w:ilvl w:val="0"/>
          <w:numId w:val="3"/>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pPr>
      <w:r w:rsidRPr="00242D2C">
        <w:rPr>
          <w:i/>
          <w:iCs/>
        </w:rPr>
        <w:t>Final Exam</w:t>
      </w:r>
      <w:r w:rsidR="00242D2C">
        <w:rPr>
          <w:i/>
          <w:iCs/>
        </w:rPr>
        <w:t xml:space="preserve"> Discussion</w:t>
      </w:r>
    </w:p>
    <w:p w14:paraId="0C096BFB" w14:textId="77777777" w:rsidR="00242D2C" w:rsidRDefault="00242D2C" w:rsidP="00970272">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i/>
          <w:iCs/>
        </w:rPr>
      </w:pPr>
    </w:p>
    <w:p w14:paraId="60803A13" w14:textId="77777777" w:rsidR="00CA51E9" w:rsidRPr="00970272" w:rsidRDefault="00970272" w:rsidP="00970272">
      <w:pPr>
        <w:pStyle w:val="Quick1"/>
        <w:numPr>
          <w:ilvl w:val="0"/>
          <w:numId w:val="0"/>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center"/>
        <w:rPr>
          <w:b/>
          <w:sz w:val="28"/>
          <w:szCs w:val="28"/>
        </w:rPr>
      </w:pPr>
      <w:proofErr w:type="gramStart"/>
      <w:r w:rsidRPr="00970272">
        <w:rPr>
          <w:b/>
          <w:sz w:val="28"/>
          <w:szCs w:val="28"/>
        </w:rPr>
        <w:t xml:space="preserve">Final Exam </w:t>
      </w:r>
      <w:r w:rsidR="00697625">
        <w:rPr>
          <w:b/>
          <w:sz w:val="28"/>
          <w:szCs w:val="28"/>
        </w:rPr>
        <w:t>Wednesday, April 27</w:t>
      </w:r>
      <w:r w:rsidRPr="00970272">
        <w:rPr>
          <w:b/>
          <w:sz w:val="28"/>
          <w:szCs w:val="28"/>
        </w:rPr>
        <w:t>,</w:t>
      </w:r>
      <w:r w:rsidR="00697625">
        <w:rPr>
          <w:b/>
          <w:sz w:val="28"/>
          <w:szCs w:val="28"/>
        </w:rPr>
        <w:t xml:space="preserve"> 1:3</w:t>
      </w:r>
      <w:r w:rsidRPr="00970272">
        <w:rPr>
          <w:b/>
          <w:sz w:val="28"/>
          <w:szCs w:val="28"/>
        </w:rPr>
        <w:t>0 p.m.</w:t>
      </w:r>
      <w:proofErr w:type="gramEnd"/>
    </w:p>
    <w:sectPr w:rsidR="00CA51E9" w:rsidRPr="00970272" w:rsidSect="00CA51E9">
      <w:footerReference w:type="default" r:id="rId8"/>
      <w:pgSz w:w="12240" w:h="15840"/>
      <w:pgMar w:top="1296" w:right="1152" w:bottom="1296" w:left="1152" w:header="1296" w:footer="1296"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F6453" w14:textId="77777777" w:rsidR="00D94296" w:rsidRDefault="00D94296" w:rsidP="00970272">
      <w:r>
        <w:separator/>
      </w:r>
    </w:p>
  </w:endnote>
  <w:endnote w:type="continuationSeparator" w:id="0">
    <w:p w14:paraId="7D7871DB" w14:textId="77777777" w:rsidR="00D94296" w:rsidRDefault="00D94296" w:rsidP="0097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WP TypographicSymbols">
    <w:altName w:val="Helvetica Neue Light"/>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8506" w14:textId="77777777" w:rsidR="00970272" w:rsidRPr="00970272" w:rsidRDefault="00970272" w:rsidP="00970272">
    <w:pPr>
      <w:pStyle w:val="Footer"/>
      <w:jc w:val="center"/>
      <w:rPr>
        <w:b/>
        <w:smallCaps/>
        <w:sz w:val="20"/>
        <w:szCs w:val="20"/>
      </w:rPr>
    </w:pPr>
    <w:r w:rsidRPr="00970272">
      <w:rPr>
        <w:b/>
        <w:smallCaps/>
        <w:sz w:val="20"/>
        <w:szCs w:val="20"/>
      </w:rPr>
      <w:t>White Col</w:t>
    </w:r>
    <w:r w:rsidR="00B059B3">
      <w:rPr>
        <w:b/>
        <w:smallCaps/>
        <w:sz w:val="20"/>
        <w:szCs w:val="20"/>
      </w:rPr>
      <w:t>lar Crime Syllabus</w:t>
    </w:r>
    <w:r w:rsidR="00697625">
      <w:rPr>
        <w:b/>
        <w:smallCaps/>
        <w:sz w:val="20"/>
        <w:szCs w:val="20"/>
      </w:rPr>
      <w:t xml:space="preserve"> (Winter 2011</w:t>
    </w:r>
    <w:r w:rsidRPr="00970272">
      <w:rPr>
        <w:b/>
        <w:smallCaps/>
        <w:sz w:val="20"/>
        <w:szCs w:val="20"/>
      </w:rPr>
      <w:t xml:space="preserve">) – Page </w:t>
    </w:r>
    <w:r w:rsidR="00D45018" w:rsidRPr="00970272">
      <w:rPr>
        <w:b/>
        <w:smallCaps/>
        <w:sz w:val="20"/>
        <w:szCs w:val="20"/>
      </w:rPr>
      <w:fldChar w:fldCharType="begin"/>
    </w:r>
    <w:r w:rsidRPr="00970272">
      <w:rPr>
        <w:b/>
        <w:smallCaps/>
        <w:sz w:val="20"/>
        <w:szCs w:val="20"/>
      </w:rPr>
      <w:instrText xml:space="preserve"> PAGE   \* MERGEFORMAT </w:instrText>
    </w:r>
    <w:r w:rsidR="00D45018" w:rsidRPr="00970272">
      <w:rPr>
        <w:b/>
        <w:smallCaps/>
        <w:sz w:val="20"/>
        <w:szCs w:val="20"/>
      </w:rPr>
      <w:fldChar w:fldCharType="separate"/>
    </w:r>
    <w:r w:rsidR="0054075A">
      <w:rPr>
        <w:b/>
        <w:smallCaps/>
        <w:noProof/>
        <w:sz w:val="20"/>
        <w:szCs w:val="20"/>
      </w:rPr>
      <w:t>1</w:t>
    </w:r>
    <w:r w:rsidR="00D45018" w:rsidRPr="00970272">
      <w:rPr>
        <w:b/>
        <w:smallCaps/>
        <w:sz w:val="20"/>
        <w:szCs w:val="20"/>
      </w:rPr>
      <w:fldChar w:fldCharType="end"/>
    </w:r>
  </w:p>
  <w:p w14:paraId="6F57F01F" w14:textId="77777777" w:rsidR="00970272" w:rsidRDefault="009702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0C617" w14:textId="77777777" w:rsidR="00D94296" w:rsidRDefault="00D94296" w:rsidP="00970272">
      <w:r>
        <w:separator/>
      </w:r>
    </w:p>
  </w:footnote>
  <w:footnote w:type="continuationSeparator" w:id="0">
    <w:p w14:paraId="5CA4BE16" w14:textId="77777777" w:rsidR="00D94296" w:rsidRDefault="00D94296" w:rsidP="009702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1A001ACE"/>
    <w:multiLevelType w:val="hybridMultilevel"/>
    <w:tmpl w:val="1A9E98F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1CCE4DA1"/>
    <w:multiLevelType w:val="hybridMultilevel"/>
    <w:tmpl w:val="D548CCD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1E9"/>
    <w:rsid w:val="00027CBA"/>
    <w:rsid w:val="000B5F09"/>
    <w:rsid w:val="000E393A"/>
    <w:rsid w:val="0019411B"/>
    <w:rsid w:val="00216657"/>
    <w:rsid w:val="00242D2C"/>
    <w:rsid w:val="00291FA9"/>
    <w:rsid w:val="003D4435"/>
    <w:rsid w:val="00443790"/>
    <w:rsid w:val="004A03E6"/>
    <w:rsid w:val="004A6BF9"/>
    <w:rsid w:val="0054075A"/>
    <w:rsid w:val="005D4B34"/>
    <w:rsid w:val="005D5761"/>
    <w:rsid w:val="005F3C72"/>
    <w:rsid w:val="00667FB8"/>
    <w:rsid w:val="00697625"/>
    <w:rsid w:val="006F167D"/>
    <w:rsid w:val="00703EC8"/>
    <w:rsid w:val="00727D53"/>
    <w:rsid w:val="007541F4"/>
    <w:rsid w:val="008238AD"/>
    <w:rsid w:val="00857506"/>
    <w:rsid w:val="00970272"/>
    <w:rsid w:val="009D0112"/>
    <w:rsid w:val="00A809AD"/>
    <w:rsid w:val="00AC3FBA"/>
    <w:rsid w:val="00B059B3"/>
    <w:rsid w:val="00B22177"/>
    <w:rsid w:val="00C223C4"/>
    <w:rsid w:val="00CA51E9"/>
    <w:rsid w:val="00CA7DAC"/>
    <w:rsid w:val="00CD7F0B"/>
    <w:rsid w:val="00D3001F"/>
    <w:rsid w:val="00D45018"/>
    <w:rsid w:val="00D94296"/>
    <w:rsid w:val="00DB71BD"/>
    <w:rsid w:val="00E62A43"/>
    <w:rsid w:val="00E8678C"/>
    <w:rsid w:val="00F304BD"/>
    <w:rsid w:val="00F42D91"/>
    <w:rsid w:val="00FB5898"/>
    <w:rsid w:val="00FC1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1A8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8AD"/>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238AD"/>
  </w:style>
  <w:style w:type="paragraph" w:customStyle="1" w:styleId="Quick1">
    <w:name w:val="Quick 1."/>
    <w:basedOn w:val="Normal"/>
    <w:uiPriority w:val="99"/>
    <w:rsid w:val="008238AD"/>
    <w:pPr>
      <w:numPr>
        <w:numId w:val="1"/>
      </w:numPr>
      <w:ind w:left="720" w:hanging="720"/>
    </w:pPr>
  </w:style>
  <w:style w:type="paragraph" w:styleId="Header">
    <w:name w:val="header"/>
    <w:basedOn w:val="Normal"/>
    <w:link w:val="HeaderChar"/>
    <w:uiPriority w:val="99"/>
    <w:semiHidden/>
    <w:unhideWhenUsed/>
    <w:rsid w:val="00970272"/>
    <w:pPr>
      <w:tabs>
        <w:tab w:val="center" w:pos="4680"/>
        <w:tab w:val="right" w:pos="9360"/>
      </w:tabs>
    </w:pPr>
  </w:style>
  <w:style w:type="character" w:customStyle="1" w:styleId="HeaderChar">
    <w:name w:val="Header Char"/>
    <w:basedOn w:val="DefaultParagraphFont"/>
    <w:link w:val="Header"/>
    <w:uiPriority w:val="99"/>
    <w:semiHidden/>
    <w:rsid w:val="00970272"/>
    <w:rPr>
      <w:rFonts w:ascii="Times New Roman" w:hAnsi="Times New Roman"/>
      <w:sz w:val="24"/>
      <w:szCs w:val="24"/>
    </w:rPr>
  </w:style>
  <w:style w:type="paragraph" w:styleId="Footer">
    <w:name w:val="footer"/>
    <w:basedOn w:val="Normal"/>
    <w:link w:val="FooterChar"/>
    <w:uiPriority w:val="99"/>
    <w:unhideWhenUsed/>
    <w:rsid w:val="00970272"/>
    <w:pPr>
      <w:tabs>
        <w:tab w:val="center" w:pos="4680"/>
        <w:tab w:val="right" w:pos="9360"/>
      </w:tabs>
    </w:pPr>
  </w:style>
  <w:style w:type="character" w:customStyle="1" w:styleId="FooterChar">
    <w:name w:val="Footer Char"/>
    <w:basedOn w:val="DefaultParagraphFont"/>
    <w:link w:val="Footer"/>
    <w:uiPriority w:val="99"/>
    <w:rsid w:val="00970272"/>
    <w:rPr>
      <w:rFonts w:ascii="Times New Roman" w:hAnsi="Times New Roman"/>
      <w:sz w:val="24"/>
      <w:szCs w:val="24"/>
    </w:rPr>
  </w:style>
  <w:style w:type="paragraph" w:styleId="BalloonText">
    <w:name w:val="Balloon Text"/>
    <w:basedOn w:val="Normal"/>
    <w:link w:val="BalloonTextChar"/>
    <w:uiPriority w:val="99"/>
    <w:semiHidden/>
    <w:unhideWhenUsed/>
    <w:rsid w:val="00970272"/>
    <w:rPr>
      <w:rFonts w:ascii="Tahoma" w:hAnsi="Tahoma" w:cs="Tahoma"/>
      <w:sz w:val="16"/>
      <w:szCs w:val="16"/>
    </w:rPr>
  </w:style>
  <w:style w:type="character" w:customStyle="1" w:styleId="BalloonTextChar">
    <w:name w:val="Balloon Text Char"/>
    <w:basedOn w:val="DefaultParagraphFont"/>
    <w:link w:val="BalloonText"/>
    <w:uiPriority w:val="99"/>
    <w:semiHidden/>
    <w:rsid w:val="0097027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microsoft.com/office/2007/relationships/stylesWithEffects" Target="stylesWithEffect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388</Words>
  <Characters>2216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Henning</dc:creator>
  <cp:keywords/>
  <dc:description/>
  <cp:lastModifiedBy>Peter Henning</cp:lastModifiedBy>
  <cp:revision>20</cp:revision>
  <cp:lastPrinted>2010-12-30T23:30:00Z</cp:lastPrinted>
  <dcterms:created xsi:type="dcterms:W3CDTF">2009-07-20T21:34:00Z</dcterms:created>
  <dcterms:modified xsi:type="dcterms:W3CDTF">2013-01-01T22:58:00Z</dcterms:modified>
</cp:coreProperties>
</file>